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CERTIFICATE OF ANALYSIS (COA)</w:t>
      </w:r>
    </w:p>
    <w:p>
      <w:pPr>
        <w:jc w:val="center"/>
      </w:pPr>
      <w:r>
        <w:rPr>
          <w:b/>
        </w:rPr>
        <w:t>MSD Foods – Online-referenced master specifications</w:t>
      </w:r>
    </w:p>
    <w:p>
      <w:r>
        <w:t>Specifications below are compiled from publicly available FSSAI requirements and representative Indian dehydrated-ingredient manufacturer specifications. They are suitable as a draft commercial master specification; MSD Foods QC should approve/validate them before issuing batch COAs.</w:t>
      </w:r>
    </w:p>
    <w:p>
      <w:pPr>
        <w:jc w:val="center"/>
      </w:pPr>
      <w:r>
        <w:rPr>
          <w:b/>
          <w:sz w:val="30"/>
        </w:rPr>
        <w:t>BEETROOT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BEETROOT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beetroot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BITTER GUARD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BITTER GUARD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bitter gourd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GINGER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GINGER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ginger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CARROT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CARROT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carrot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GREEN CHILLY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GREEN CHILLY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green chilli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CUCUMBER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CUCUMBER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cucumber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SPINACH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SPINACH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spinach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ONION POWDER -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ONION POWDER - TYPE A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onion powder –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ONION POWDER -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ONION POWDER - TYPE B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onion powder –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GARLIC POWDER -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GARLIC POWDER - TYPE A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garlic powder – Type 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GARLIC POWDER -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GARLIC POWDER - TYPE B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Dehydrated garlic powder – Type B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Appearance</w:t>
            </w:r>
          </w:p>
        </w:tc>
        <w:tc>
          <w:tcPr>
            <w:tcW w:type="dxa" w:w="2664"/>
          </w:tcPr>
          <w:p>
            <w:r>
              <w:t>Characteristic; free-flowing powder, no visible mould/infestation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Colour</w:t>
            </w:r>
          </w:p>
        </w:tc>
        <w:tc>
          <w:tcPr>
            <w:tcW w:type="dxa" w:w="2664"/>
          </w:tcPr>
          <w:p>
            <w:r>
              <w:t>Characteristic of source vegetable; no scorching/discolouration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Odour</w:t>
            </w:r>
          </w:p>
        </w:tc>
        <w:tc>
          <w:tcPr>
            <w:tcW w:type="dxa" w:w="2664"/>
          </w:tcPr>
          <w:p>
            <w:r>
              <w:t>Characteristic; free from musty/foreign odour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Moisture</w:t>
            </w:r>
          </w:p>
        </w:tc>
        <w:tc>
          <w:tcPr>
            <w:tcW w:type="dxa" w:w="2664"/>
          </w:tcPr>
          <w:p>
            <w:r>
              <w:t>NMT 5.0 %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Acid Insoluble Ash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Peroxidase</w:t>
            </w:r>
          </w:p>
        </w:tc>
        <w:tc>
          <w:tcPr>
            <w:tcW w:type="dxa" w:w="2664"/>
          </w:tcPr>
          <w:p>
            <w:r>
              <w:t>Negative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Foreign Matter</w:t>
            </w:r>
          </w:p>
        </w:tc>
        <w:tc>
          <w:tcPr>
            <w:tcW w:type="dxa" w:w="2664"/>
          </w:tcPr>
          <w:p>
            <w:r>
              <w:t>Absent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Total Plate Count</w:t>
            </w:r>
          </w:p>
        </w:tc>
        <w:tc>
          <w:tcPr>
            <w:tcW w:type="dxa" w:w="2664"/>
          </w:tcPr>
          <w:p>
            <w:r>
              <w:t>NMT 3.0 × 10^5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Yeast &amp; Mould</w:t>
            </w:r>
          </w:p>
        </w:tc>
        <w:tc>
          <w:tcPr>
            <w:tcW w:type="dxa" w:w="2664"/>
          </w:tcPr>
          <w:p>
            <w:r>
              <w:t>NMT 1.0 × 10^3 cfu/g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E. coli</w:t>
            </w:r>
          </w:p>
        </w:tc>
        <w:tc>
          <w:tcPr>
            <w:tcW w:type="dxa" w:w="2664"/>
          </w:tcPr>
          <w:p>
            <w:r>
              <w:t>Absent /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>
            <w:r>
              <w:t>Salmonella</w:t>
            </w:r>
          </w:p>
        </w:tc>
        <w:tc>
          <w:tcPr>
            <w:tcW w:type="dxa" w:w="2664"/>
          </w:tcPr>
          <w:p>
            <w:r>
              <w:t>Absent in 25 g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1 -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1 -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 (INS 150a) –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62–77 %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0.01–0.12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0.01 %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Not specified for Class I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1 -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1 -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 (INS 150a) –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62–77 %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0.01–0.12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0.01 %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Not specified for Class I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2 -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2 -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II (INS 150b) –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65–72 %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0.06–0.10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0.01 %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Not specified for Class II in cited FSSAI table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2 -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2 -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II (INS 150b) –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65–72 %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0.06–0.10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0.01 %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Not specified for Class II in cited FSSAI table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3 -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3 -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III (INS 150c) –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53–83 %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0.08–0.36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0.4 %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NMT 300 mg/kg and NMT 200 mg/kg on equivalent colour basis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3 -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3 -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III (INS 150c) –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53–83 %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0.08–0.36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0.4 %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NMT 300 mg/kg and NMT 200 mg/kg on equivalent colour basis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4 -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4 - LIQUID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IV (INS 150d) – liquid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40–75 %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0.10–0.60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NMT 1000 mg/kg and NMT 250 mg/kg on equivalent colour basis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p>
      <w:r>
        <w:br w:type="page"/>
      </w:r>
    </w:p>
    <w:p>
      <w:pPr>
        <w:jc w:val="center"/>
      </w:pPr>
      <w:r>
        <w:rPr>
          <w:b/>
          <w:sz w:val="30"/>
        </w:rPr>
        <w:t>CARAMEL COLOUR TYPE 4 -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Product</w:t>
            </w:r>
          </w:p>
        </w:tc>
        <w:tc>
          <w:tcPr>
            <w:tcW w:type="dxa" w:w="2664"/>
          </w:tcPr>
          <w:p>
            <w:r>
              <w:t>CARAMEL COLOUR TYPE 4 - POWDER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COA No.</w:t>
            </w:r>
          </w:p>
        </w:tc>
        <w:tc>
          <w:tcPr>
            <w:tcW w:type="dxa" w:w="2664"/>
          </w:tcPr>
          <w:p>
            <w:r>
              <w:t>MSD-COA-________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Batch No.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Manufacturing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Best Before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Date of Analysis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Quantity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/>
    <w:p>
      <w:r>
        <w:rPr>
          <w:b/>
        </w:rPr>
        <w:t xml:space="preserve">Product description: </w:t>
      </w:r>
      <w:r>
        <w:t>Caramel Colour Class IV (INS 150d) – powder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Parameter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Specification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Actual Result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Method / Reference</w:t>
            </w:r>
          </w:p>
        </w:tc>
      </w:tr>
      <w:tr>
        <w:tc>
          <w:tcPr>
            <w:tcW w:type="dxa" w:w="2664"/>
          </w:tcPr>
          <w:p>
            <w:r>
              <w:t>Description</w:t>
            </w:r>
          </w:p>
        </w:tc>
        <w:tc>
          <w:tcPr>
            <w:tcW w:type="dxa" w:w="2664"/>
          </w:tcPr>
          <w:p>
            <w:r>
              <w:t>Dark brown to black liquid/solid; burnt-sugar odour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FSSAI/JECFA</w:t>
            </w:r>
          </w:p>
        </w:tc>
      </w:tr>
      <w:tr>
        <w:tc>
          <w:tcPr>
            <w:tcW w:type="dxa" w:w="2664"/>
          </w:tcPr>
          <w:p>
            <w:r>
              <w:t>Solid content</w:t>
            </w:r>
          </w:p>
        </w:tc>
        <w:tc>
          <w:tcPr>
            <w:tcW w:type="dxa" w:w="2664"/>
          </w:tcPr>
          <w:p>
            <w:r>
              <w:t>40–75 % (solids basis)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Colour intensity</w:t>
            </w:r>
          </w:p>
        </w:tc>
        <w:tc>
          <w:tcPr>
            <w:tcW w:type="dxa" w:w="2664"/>
          </w:tcPr>
          <w:p>
            <w:r>
              <w:t>0.10–0.60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Ammoniacal nitrogen</w:t>
            </w:r>
          </w:p>
        </w:tc>
        <w:tc>
          <w:tcPr>
            <w:tcW w:type="dxa" w:w="2664"/>
          </w:tcPr>
          <w:p>
            <w:r>
              <w:t>NMT 0.5 %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4-MEI</w:t>
            </w:r>
          </w:p>
        </w:tc>
        <w:tc>
          <w:tcPr>
            <w:tcW w:type="dxa" w:w="2664"/>
          </w:tcPr>
          <w:p>
            <w:r>
              <w:t>NMT 1000 mg/kg and NMT 250 mg/kg on equivalent colour basis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Lead</w:t>
            </w:r>
          </w:p>
        </w:tc>
        <w:tc>
          <w:tcPr>
            <w:tcW w:type="dxa" w:w="2664"/>
          </w:tcPr>
          <w:p>
            <w:r>
              <w:t>NMT 5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Arsenic</w:t>
            </w:r>
          </w:p>
        </w:tc>
        <w:tc>
          <w:tcPr>
            <w:tcW w:type="dxa" w:w="2664"/>
          </w:tcPr>
          <w:p>
            <w:r>
              <w:t>NMT 3 mg/kg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FSSAI</w:t>
            </w:r>
          </w:p>
        </w:tc>
      </w:tr>
      <w:tr>
        <w:tc>
          <w:tcPr>
            <w:tcW w:type="dxa" w:w="2664"/>
          </w:tcPr>
          <w:p>
            <w:r>
              <w:t>Mercury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Cadmium</w:t>
            </w:r>
          </w:p>
        </w:tc>
        <w:tc>
          <w:tcPr>
            <w:tcW w:type="dxa" w:w="2664"/>
          </w:tcPr>
          <w:p>
            <w:r>
              <w:t>NMT 1 mg/kg*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Internal proposed QC limit; verify applicable regulation</w:t>
            </w:r>
          </w:p>
        </w:tc>
      </w:tr>
      <w:tr>
        <w:tc>
          <w:tcPr>
            <w:tcW w:type="dxa" w:w="2664"/>
          </w:tcPr>
          <w:p>
            <w:r>
              <w:t>Microbiology</w:t>
            </w:r>
          </w:p>
        </w:tc>
        <w:tc>
          <w:tcPr>
            <w:tcW w:type="dxa" w:w="2664"/>
          </w:tcPr>
          <w:p>
            <w:r>
              <w:t>Food-grade compliant; product-specific limits to be validated</w:t>
            </w:r>
          </w:p>
        </w:tc>
        <w:tc>
          <w:tcPr>
            <w:tcW w:type="dxa" w:w="2664"/>
          </w:tcPr>
          <w:p>
            <w:r>
              <w:t>—</w:t>
            </w:r>
          </w:p>
        </w:tc>
        <w:tc>
          <w:tcPr>
            <w:tcW w:type="dxa" w:w="2664"/>
          </w:tcPr>
          <w:p>
            <w:r>
              <w:t>MSD Foods QC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</w:tcPr>
          <w:p>
            <w:r>
              <w:rPr>
                <w:b/>
              </w:rPr>
              <w:t>Overall Status</w:t>
            </w:r>
          </w:p>
        </w:tc>
        <w:tc>
          <w:tcPr>
            <w:tcW w:type="dxa" w:w="2664"/>
          </w:tcPr>
          <w:p>
            <w:r>
              <w:t>PASS / HOLD / REJECT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QC Analyst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  <w:tr>
        <w:tc>
          <w:tcPr>
            <w:tcW w:type="dxa" w:w="2664"/>
            <w:shd w:fill="D9EAF7"/>
          </w:tcPr>
          <w:p>
            <w:r>
              <w:rPr>
                <w:b/>
              </w:rPr>
              <w:t>QC Approval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  <w:tc>
          <w:tcPr>
            <w:tcW w:type="dxa" w:w="2664"/>
            <w:shd w:fill="D9EAF7"/>
          </w:tcPr>
          <w:p>
            <w:r>
              <w:rPr>
                <w:b/>
              </w:rPr>
              <w:t>Release Date</w:t>
            </w:r>
          </w:p>
        </w:tc>
        <w:tc>
          <w:tcPr>
            <w:tcW w:type="dxa" w:w="2664"/>
          </w:tcPr>
          <w:p>
            <w:r>
              <w:t>________________</w:t>
            </w:r>
          </w:p>
        </w:tc>
      </w:tr>
    </w:tbl>
    <w:p>
      <w:r>
        <w:rPr>
          <w:i/>
          <w:sz w:val="15"/>
        </w:rPr>
        <w:t>Source basis: FSSAI dehydrated vegetables standard requires vegetable powders to have moisture NMT 5%, acid insoluble ash NMT 0.5% and negative peroxidase. Public Indian supplier specifications also commonly report moisture NMT 6%, ash NMT 4%, AIA NMT 0.5%, TPC, yeast/mould, E. coli and Salmonella limits for onion/garlic powders.</w:t>
      </w:r>
    </w:p>
    <w:sectPr w:rsidR="00FC693F" w:rsidRPr="0006063C" w:rsidSect="00034616">
      <w:headerReference w:type="default" r:id="rId9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8"/>
      </w:rPr>
      <w:t>MSD FOODS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